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_GB2312" w:eastAsia="仿宋_GB2312" w:cs="仿宋_GB2312"/>
          <w:sz w:val="32"/>
          <w:szCs w:val="32"/>
        </w:rPr>
      </w:pPr>
      <w:r>
        <w:rPr>
          <w:rFonts w:hint="eastAsia" w:ascii="仿宋_GB2312" w:hAnsi="仿宋_GB2312" w:eastAsia="仿宋_GB2312" w:cs="仿宋_GB2312"/>
          <w:sz w:val="32"/>
          <w:szCs w:val="32"/>
        </w:rPr>
        <w:t>附件</w:t>
      </w:r>
    </w:p>
    <w:p>
      <w:pPr>
        <w:jc w:val="center"/>
        <w:rPr>
          <w:rFonts w:ascii="仿宋_GB2312" w:hAnsi="仿宋_GB2312" w:eastAsia="仿宋_GB2312" w:cs="仿宋_GB2312"/>
          <w:sz w:val="32"/>
          <w:szCs w:val="32"/>
        </w:rPr>
      </w:pPr>
      <w:bookmarkStart w:id="0" w:name="_GoBack"/>
      <w:r>
        <w:rPr>
          <w:rFonts w:hint="eastAsia" w:ascii="仿宋_GB2312" w:hAnsi="仿宋_GB2312" w:eastAsia="仿宋_GB2312" w:cs="仿宋_GB2312"/>
          <w:sz w:val="32"/>
          <w:szCs w:val="32"/>
        </w:rPr>
        <w:t>通信网络单元定级审核结果（202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月）</w:t>
      </w:r>
    </w:p>
    <w:bookmarkEnd w:id="0"/>
    <w:tbl>
      <w:tblPr>
        <w:tblStyle w:val="3"/>
        <w:tblW w:w="93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755"/>
        <w:gridCol w:w="2427"/>
        <w:gridCol w:w="3713"/>
        <w:gridCol w:w="1249"/>
        <w:gridCol w:w="1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2" w:hRule="atLeast"/>
          <w:jc w:val="center"/>
        </w:trPr>
        <w:tc>
          <w:tcPr>
            <w:tcW w:w="755" w:type="dxa"/>
            <w:shd w:val="clear" w:color="auto" w:fill="auto"/>
            <w:vAlign w:val="top"/>
          </w:tcPr>
          <w:p>
            <w:pPr>
              <w:keepNext w:val="0"/>
              <w:keepLines w:val="0"/>
              <w:widowControl/>
              <w:suppressLineNumbers w:val="0"/>
              <w:jc w:val="center"/>
              <w:textAlignment w:val="top"/>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序号</w:t>
            </w:r>
          </w:p>
        </w:tc>
        <w:tc>
          <w:tcPr>
            <w:tcW w:w="2427" w:type="dxa"/>
            <w:shd w:val="clear" w:color="auto" w:fill="auto"/>
            <w:vAlign w:val="top"/>
          </w:tcPr>
          <w:p>
            <w:pPr>
              <w:keepNext w:val="0"/>
              <w:keepLines w:val="0"/>
              <w:widowControl/>
              <w:suppressLineNumbers w:val="0"/>
              <w:jc w:val="center"/>
              <w:textAlignment w:val="top"/>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单位名称</w:t>
            </w:r>
          </w:p>
        </w:tc>
        <w:tc>
          <w:tcPr>
            <w:tcW w:w="3713" w:type="dxa"/>
            <w:shd w:val="clear" w:color="auto" w:fill="auto"/>
            <w:vAlign w:val="top"/>
          </w:tcPr>
          <w:p>
            <w:pPr>
              <w:keepNext w:val="0"/>
              <w:keepLines w:val="0"/>
              <w:widowControl/>
              <w:suppressLineNumbers w:val="0"/>
              <w:jc w:val="center"/>
              <w:textAlignment w:val="top"/>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定级对象名称</w:t>
            </w:r>
          </w:p>
        </w:tc>
        <w:tc>
          <w:tcPr>
            <w:tcW w:w="1249" w:type="dxa"/>
            <w:shd w:val="clear" w:color="auto" w:fill="auto"/>
            <w:vAlign w:val="top"/>
          </w:tcPr>
          <w:p>
            <w:pPr>
              <w:keepNext w:val="0"/>
              <w:keepLines w:val="0"/>
              <w:widowControl/>
              <w:suppressLineNumbers w:val="0"/>
              <w:jc w:val="center"/>
              <w:textAlignment w:val="top"/>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安全定级</w:t>
            </w:r>
          </w:p>
        </w:tc>
        <w:tc>
          <w:tcPr>
            <w:tcW w:w="1234" w:type="dxa"/>
            <w:shd w:val="clear" w:color="auto" w:fill="auto"/>
            <w:vAlign w:val="top"/>
          </w:tcPr>
          <w:p>
            <w:pPr>
              <w:keepNext w:val="0"/>
              <w:keepLines w:val="0"/>
              <w:widowControl/>
              <w:suppressLineNumbers w:val="0"/>
              <w:jc w:val="center"/>
              <w:textAlignment w:val="top"/>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审核结果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85" w:hRule="atLeast"/>
          <w:jc w:val="center"/>
        </w:trPr>
        <w:tc>
          <w:tcPr>
            <w:tcW w:w="755" w:type="dxa"/>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427" w:type="dxa"/>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333333"/>
                <w:sz w:val="24"/>
                <w:szCs w:val="24"/>
                <w:u w:val="none"/>
              </w:rPr>
            </w:pPr>
            <w:r>
              <w:rPr>
                <w:rFonts w:hint="eastAsia" w:ascii="仿宋" w:hAnsi="仿宋" w:eastAsia="仿宋" w:cs="仿宋"/>
                <w:i w:val="0"/>
                <w:iCs w:val="0"/>
                <w:color w:val="333333"/>
                <w:kern w:val="0"/>
                <w:sz w:val="24"/>
                <w:szCs w:val="24"/>
                <w:u w:val="none"/>
                <w:lang w:val="en-US" w:eastAsia="zh-CN" w:bidi="ar"/>
              </w:rPr>
              <w:t>贵州三网科技有限责任公司</w:t>
            </w:r>
          </w:p>
        </w:tc>
        <w:tc>
          <w:tcPr>
            <w:tcW w:w="3713" w:type="dxa"/>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333333"/>
                <w:sz w:val="24"/>
                <w:szCs w:val="24"/>
                <w:u w:val="none"/>
              </w:rPr>
            </w:pPr>
            <w:r>
              <w:rPr>
                <w:rFonts w:hint="eastAsia" w:ascii="仿宋" w:hAnsi="仿宋" w:eastAsia="仿宋" w:cs="仿宋"/>
                <w:i w:val="0"/>
                <w:iCs w:val="0"/>
                <w:color w:val="333333"/>
                <w:kern w:val="0"/>
                <w:sz w:val="24"/>
                <w:szCs w:val="24"/>
                <w:u w:val="none"/>
                <w:lang w:val="en-US" w:eastAsia="zh-CN" w:bidi="ar"/>
              </w:rPr>
              <w:t>贵州三网科技有限责任公司中国电信贵州分公司消息网相关的信息服务单位系统</w:t>
            </w:r>
          </w:p>
        </w:tc>
        <w:tc>
          <w:tcPr>
            <w:tcW w:w="1249" w:type="dxa"/>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333333"/>
                <w:sz w:val="24"/>
                <w:szCs w:val="24"/>
                <w:u w:val="none"/>
              </w:rPr>
            </w:pPr>
            <w:r>
              <w:rPr>
                <w:rFonts w:hint="eastAsia" w:ascii="仿宋" w:hAnsi="仿宋" w:eastAsia="仿宋" w:cs="仿宋"/>
                <w:i w:val="0"/>
                <w:iCs w:val="0"/>
                <w:color w:val="333333"/>
                <w:kern w:val="0"/>
                <w:sz w:val="24"/>
                <w:szCs w:val="24"/>
                <w:u w:val="none"/>
                <w:lang w:val="en-US" w:eastAsia="zh-CN" w:bidi="ar"/>
              </w:rPr>
              <w:t>2</w:t>
            </w:r>
          </w:p>
        </w:tc>
        <w:tc>
          <w:tcPr>
            <w:tcW w:w="1234" w:type="dxa"/>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333333"/>
                <w:sz w:val="24"/>
                <w:szCs w:val="24"/>
                <w:u w:val="none"/>
              </w:rPr>
            </w:pPr>
            <w:r>
              <w:rPr>
                <w:rFonts w:hint="eastAsia" w:ascii="仿宋" w:hAnsi="仿宋" w:eastAsia="仿宋" w:cs="仿宋"/>
                <w:i w:val="0"/>
                <w:iCs w:val="0"/>
                <w:color w:val="333333"/>
                <w:kern w:val="0"/>
                <w:sz w:val="24"/>
                <w:szCs w:val="24"/>
                <w:u w:val="none"/>
                <w:lang w:val="en-US" w:eastAsia="zh-CN" w:bidi="ar"/>
              </w:rPr>
              <w:t>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93" w:hRule="atLeast"/>
          <w:jc w:val="center"/>
        </w:trPr>
        <w:tc>
          <w:tcPr>
            <w:tcW w:w="755" w:type="dxa"/>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427" w:type="dxa"/>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333333"/>
                <w:sz w:val="24"/>
                <w:szCs w:val="24"/>
                <w:u w:val="none"/>
              </w:rPr>
            </w:pPr>
            <w:r>
              <w:rPr>
                <w:rFonts w:hint="eastAsia" w:ascii="仿宋" w:hAnsi="仿宋" w:eastAsia="仿宋" w:cs="仿宋"/>
                <w:i w:val="0"/>
                <w:iCs w:val="0"/>
                <w:color w:val="333333"/>
                <w:kern w:val="0"/>
                <w:sz w:val="24"/>
                <w:szCs w:val="24"/>
                <w:u w:val="none"/>
                <w:lang w:val="en-US" w:eastAsia="zh-CN" w:bidi="ar"/>
              </w:rPr>
              <w:t>贵州康思田科技发展有限公司</w:t>
            </w:r>
          </w:p>
        </w:tc>
        <w:tc>
          <w:tcPr>
            <w:tcW w:w="3713" w:type="dxa"/>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333333"/>
                <w:sz w:val="24"/>
                <w:szCs w:val="24"/>
                <w:u w:val="none"/>
              </w:rPr>
            </w:pPr>
            <w:r>
              <w:rPr>
                <w:rFonts w:hint="eastAsia" w:ascii="仿宋" w:hAnsi="仿宋" w:eastAsia="仿宋" w:cs="仿宋"/>
                <w:i w:val="0"/>
                <w:iCs w:val="0"/>
                <w:color w:val="333333"/>
                <w:kern w:val="0"/>
                <w:sz w:val="24"/>
                <w:szCs w:val="24"/>
                <w:u w:val="none"/>
                <w:lang w:val="en-US" w:eastAsia="zh-CN" w:bidi="ar"/>
              </w:rPr>
              <w:t>贵州康思田科技发展有限公司南明区公众服务类联网应用</w:t>
            </w:r>
          </w:p>
        </w:tc>
        <w:tc>
          <w:tcPr>
            <w:tcW w:w="1249" w:type="dxa"/>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333333"/>
                <w:sz w:val="24"/>
                <w:szCs w:val="24"/>
                <w:u w:val="none"/>
              </w:rPr>
            </w:pPr>
            <w:r>
              <w:rPr>
                <w:rFonts w:hint="eastAsia" w:ascii="仿宋" w:hAnsi="仿宋" w:eastAsia="仿宋" w:cs="仿宋"/>
                <w:i w:val="0"/>
                <w:iCs w:val="0"/>
                <w:color w:val="333333"/>
                <w:kern w:val="0"/>
                <w:sz w:val="24"/>
                <w:szCs w:val="24"/>
                <w:u w:val="none"/>
                <w:lang w:val="en-US" w:eastAsia="zh-CN" w:bidi="ar"/>
              </w:rPr>
              <w:t>1</w:t>
            </w:r>
          </w:p>
        </w:tc>
        <w:tc>
          <w:tcPr>
            <w:tcW w:w="1234" w:type="dxa"/>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333333"/>
                <w:sz w:val="24"/>
                <w:szCs w:val="24"/>
                <w:u w:val="none"/>
              </w:rPr>
            </w:pPr>
            <w:r>
              <w:rPr>
                <w:rFonts w:hint="eastAsia" w:ascii="仿宋" w:hAnsi="仿宋" w:eastAsia="仿宋" w:cs="仿宋"/>
                <w:i w:val="0"/>
                <w:iCs w:val="0"/>
                <w:color w:val="333333"/>
                <w:kern w:val="0"/>
                <w:sz w:val="24"/>
                <w:szCs w:val="24"/>
                <w:u w:val="none"/>
                <w:lang w:val="en-US" w:eastAsia="zh-CN" w:bidi="ar"/>
              </w:rPr>
              <w:t>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93" w:hRule="atLeast"/>
          <w:jc w:val="center"/>
        </w:trPr>
        <w:tc>
          <w:tcPr>
            <w:tcW w:w="755" w:type="dxa"/>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427" w:type="dxa"/>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333333"/>
                <w:sz w:val="24"/>
                <w:szCs w:val="24"/>
                <w:u w:val="none"/>
              </w:rPr>
            </w:pPr>
            <w:r>
              <w:rPr>
                <w:rFonts w:hint="eastAsia" w:ascii="仿宋" w:hAnsi="仿宋" w:eastAsia="仿宋" w:cs="仿宋"/>
                <w:i w:val="0"/>
                <w:iCs w:val="0"/>
                <w:color w:val="333333"/>
                <w:kern w:val="0"/>
                <w:sz w:val="24"/>
                <w:szCs w:val="24"/>
                <w:u w:val="none"/>
                <w:lang w:val="en-US" w:eastAsia="zh-CN" w:bidi="ar"/>
              </w:rPr>
              <w:t>贵州康思田科技发展有限公司</w:t>
            </w:r>
          </w:p>
        </w:tc>
        <w:tc>
          <w:tcPr>
            <w:tcW w:w="3713" w:type="dxa"/>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333333"/>
                <w:sz w:val="24"/>
                <w:szCs w:val="24"/>
                <w:u w:val="none"/>
              </w:rPr>
            </w:pPr>
            <w:r>
              <w:rPr>
                <w:rFonts w:hint="eastAsia" w:ascii="仿宋" w:hAnsi="仿宋" w:eastAsia="仿宋" w:cs="仿宋"/>
                <w:i w:val="0"/>
                <w:iCs w:val="0"/>
                <w:color w:val="333333"/>
                <w:kern w:val="0"/>
                <w:sz w:val="24"/>
                <w:szCs w:val="24"/>
                <w:u w:val="none"/>
                <w:lang w:val="en-US" w:eastAsia="zh-CN" w:bidi="ar"/>
              </w:rPr>
              <w:t>贵州康思田科技发展有限公司南明区本地智能网</w:t>
            </w:r>
          </w:p>
        </w:tc>
        <w:tc>
          <w:tcPr>
            <w:tcW w:w="1249" w:type="dxa"/>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333333"/>
                <w:sz w:val="24"/>
                <w:szCs w:val="24"/>
                <w:u w:val="none"/>
              </w:rPr>
            </w:pPr>
            <w:r>
              <w:rPr>
                <w:rFonts w:hint="eastAsia" w:ascii="仿宋" w:hAnsi="仿宋" w:eastAsia="仿宋" w:cs="仿宋"/>
                <w:i w:val="0"/>
                <w:iCs w:val="0"/>
                <w:color w:val="333333"/>
                <w:kern w:val="0"/>
                <w:sz w:val="24"/>
                <w:szCs w:val="24"/>
                <w:u w:val="none"/>
                <w:lang w:val="en-US" w:eastAsia="zh-CN" w:bidi="ar"/>
              </w:rPr>
              <w:t>1</w:t>
            </w:r>
          </w:p>
        </w:tc>
        <w:tc>
          <w:tcPr>
            <w:tcW w:w="1234" w:type="dxa"/>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333333"/>
                <w:sz w:val="24"/>
                <w:szCs w:val="24"/>
                <w:u w:val="none"/>
              </w:rPr>
            </w:pPr>
            <w:r>
              <w:rPr>
                <w:rFonts w:hint="eastAsia" w:ascii="仿宋" w:hAnsi="仿宋" w:eastAsia="仿宋" w:cs="仿宋"/>
                <w:i w:val="0"/>
                <w:iCs w:val="0"/>
                <w:color w:val="333333"/>
                <w:kern w:val="0"/>
                <w:sz w:val="24"/>
                <w:szCs w:val="24"/>
                <w:u w:val="none"/>
                <w:lang w:val="en-US" w:eastAsia="zh-CN" w:bidi="ar"/>
              </w:rPr>
              <w:t>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94" w:hRule="atLeast"/>
          <w:jc w:val="center"/>
        </w:trPr>
        <w:tc>
          <w:tcPr>
            <w:tcW w:w="755" w:type="dxa"/>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427" w:type="dxa"/>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333333"/>
                <w:sz w:val="24"/>
                <w:szCs w:val="24"/>
                <w:u w:val="none"/>
              </w:rPr>
            </w:pPr>
            <w:r>
              <w:rPr>
                <w:rFonts w:hint="eastAsia" w:ascii="仿宋" w:hAnsi="仿宋" w:eastAsia="仿宋" w:cs="仿宋"/>
                <w:i w:val="0"/>
                <w:iCs w:val="0"/>
                <w:color w:val="333333"/>
                <w:kern w:val="0"/>
                <w:sz w:val="24"/>
                <w:szCs w:val="24"/>
                <w:u w:val="none"/>
                <w:lang w:val="en-US" w:eastAsia="zh-CN" w:bidi="ar"/>
              </w:rPr>
              <w:t>贵州鹏飞信科科技有限公司</w:t>
            </w:r>
          </w:p>
        </w:tc>
        <w:tc>
          <w:tcPr>
            <w:tcW w:w="3713" w:type="dxa"/>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333333"/>
                <w:sz w:val="24"/>
                <w:szCs w:val="24"/>
                <w:u w:val="none"/>
              </w:rPr>
            </w:pPr>
            <w:r>
              <w:rPr>
                <w:rFonts w:hint="eastAsia" w:ascii="仿宋" w:hAnsi="仿宋" w:eastAsia="仿宋" w:cs="仿宋"/>
                <w:i w:val="0"/>
                <w:iCs w:val="0"/>
                <w:color w:val="333333"/>
                <w:kern w:val="0"/>
                <w:sz w:val="24"/>
                <w:szCs w:val="24"/>
                <w:u w:val="none"/>
                <w:lang w:val="en-US" w:eastAsia="zh-CN" w:bidi="ar"/>
              </w:rPr>
              <w:t>贵州鹏飞信科科技有限公司中国电信贵州分公司其他信息服务业务系统</w:t>
            </w:r>
          </w:p>
        </w:tc>
        <w:tc>
          <w:tcPr>
            <w:tcW w:w="1249" w:type="dxa"/>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333333"/>
                <w:sz w:val="24"/>
                <w:szCs w:val="24"/>
                <w:u w:val="none"/>
              </w:rPr>
            </w:pPr>
            <w:r>
              <w:rPr>
                <w:rFonts w:hint="eastAsia" w:ascii="仿宋" w:hAnsi="仿宋" w:eastAsia="仿宋" w:cs="仿宋"/>
                <w:i w:val="0"/>
                <w:iCs w:val="0"/>
                <w:color w:val="333333"/>
                <w:kern w:val="0"/>
                <w:sz w:val="24"/>
                <w:szCs w:val="24"/>
                <w:u w:val="none"/>
                <w:lang w:val="en-US" w:eastAsia="zh-CN" w:bidi="ar"/>
              </w:rPr>
              <w:t>2</w:t>
            </w:r>
          </w:p>
        </w:tc>
        <w:tc>
          <w:tcPr>
            <w:tcW w:w="1234" w:type="dxa"/>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333333"/>
                <w:sz w:val="24"/>
                <w:szCs w:val="24"/>
                <w:u w:val="none"/>
              </w:rPr>
            </w:pPr>
            <w:r>
              <w:rPr>
                <w:rFonts w:hint="eastAsia" w:ascii="仿宋" w:hAnsi="仿宋" w:eastAsia="仿宋" w:cs="仿宋"/>
                <w:i w:val="0"/>
                <w:iCs w:val="0"/>
                <w:color w:val="333333"/>
                <w:kern w:val="0"/>
                <w:sz w:val="24"/>
                <w:szCs w:val="24"/>
                <w:u w:val="none"/>
                <w:lang w:val="en-US" w:eastAsia="zh-CN" w:bidi="ar"/>
              </w:rPr>
              <w:t>不通过</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5E65C0"/>
    <w:rsid w:val="315E65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qFormat/>
    <w:uiPriority w:val="0"/>
    <w:pPr>
      <w:spacing w:before="100" w:beforeAutospacing="1" w:after="100" w:afterAutospacing="1"/>
      <w:jc w:val="left"/>
      <w:outlineLvl w:val="1"/>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2023-03-02T11:06:00Z</dcterms:created>
  <dc:creator>HXH-PC</dc:creator>
  <cp:lastModifiedBy>HXH-PC</cp:lastModifiedBy>
  <dcterms:modified xsi:type="dcterms:W3CDTF">2023-03-02T11:06:40Z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