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通信专业技术人员职业水平考试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专业参照表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ascii="仿宋_GB2312" w:eastAsia="仿宋_GB2312"/>
          <w:color w:val="auto"/>
          <w:sz w:val="32"/>
        </w:rPr>
      </w:pP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一、通信专业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通信工程专业包括：电信工程、无线电通信、光通信、交换（市话、长话、程控交换）、非话通信类、载波、微波、线路、通信电源、通信网络、邮电通信工程等。</w:t>
      </w:r>
      <w:r>
        <w:rPr>
          <w:rFonts w:ascii="仿宋_GB2312" w:eastAsia="仿宋_GB2312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二、相近专业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1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（一）电子技术专业（无线电技术、电子技术、计算机技术、自动控制、信息工程等）；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1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（二）通信仪器仪表及测量检定技术等；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1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（三）管理工程专业（工业管理工程、科学技术管理、基本建设管理工程、邮电通信管理工程、技术经济管理等）；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1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</w:rPr>
        <w:t>（四）邮政机械与自动化专业。</w:t>
      </w:r>
    </w:p>
    <w:p>
      <w:pPr>
        <w:pStyle w:val="3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D864D6-1890-41C9-96F7-620A0A7FC1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26CE92-E3D8-4B95-9AE7-FA88D2654B8F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59B3B136-6BFA-4519-8FA0-9A847F64C09C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F97B99DE-855D-4BAC-B7F3-ACB31EE74D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2JhYTUyZWZlM2Y2ZDc1YmRiMWJiMjZlODMwOWEifQ=="/>
  </w:docVars>
  <w:rsids>
    <w:rsidRoot w:val="00000000"/>
    <w:rsid w:val="01D56E30"/>
    <w:rsid w:val="15474EB0"/>
    <w:rsid w:val="2B241D39"/>
    <w:rsid w:val="5A65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567</Characters>
  <Lines>0</Lines>
  <Paragraphs>0</Paragraphs>
  <TotalTime>0</TotalTime>
  <ScaleCrop>false</ScaleCrop>
  <LinksUpToDate>false</LinksUpToDate>
  <CharactersWithSpaces>912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2023-07-19T01:22:00Z</dcterms:created>
  <dc:creator>lenovo</dc:creator>
  <cp:lastModifiedBy>張某人</cp:lastModifiedBy>
  <dcterms:modified xsi:type="dcterms:W3CDTF">2023-08-03T03:37:44Z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31DD4BC94A65459FB4E42178E20672FA_12</vt:lpwstr>
  </property>
</Properties>
</file>